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700A" w14:textId="77777777" w:rsidR="0033702C" w:rsidRDefault="00B13DDF">
      <w:pPr>
        <w:tabs>
          <w:tab w:val="left" w:pos="1440"/>
        </w:tabs>
        <w:spacing w:line="360" w:lineRule="auto"/>
        <w:jc w:val="both"/>
        <w:rPr>
          <w:rFonts w:ascii="Stardos Stencil" w:eastAsia="Stardos Stencil" w:hAnsi="Stardos Stencil" w:cs="Stardos Stencil"/>
          <w:sz w:val="32"/>
          <w:szCs w:val="32"/>
        </w:rPr>
      </w:pPr>
      <w:r>
        <w:rPr>
          <w:rFonts w:ascii="Stardos Stencil" w:eastAsia="Stardos Stencil" w:hAnsi="Stardos Stencil" w:cs="Stardos Stencil"/>
          <w:sz w:val="32"/>
          <w:szCs w:val="32"/>
        </w:rPr>
        <w:t>UNIVERSITY OF MINES AND TECHNOLOGY, TARKWA</w:t>
      </w:r>
      <w:r>
        <w:rPr>
          <w:noProof/>
        </w:rPr>
        <w:drawing>
          <wp:anchor distT="0" distB="0" distL="114300" distR="114300" simplePos="0" relativeHeight="251658240" behindDoc="0" locked="0" layoutInCell="1" hidden="0" allowOverlap="1" wp14:anchorId="7608F20E" wp14:editId="6C98DC2F">
            <wp:simplePos x="0" y="0"/>
            <wp:positionH relativeFrom="column">
              <wp:posOffset>60962</wp:posOffset>
            </wp:positionH>
            <wp:positionV relativeFrom="paragraph">
              <wp:posOffset>17780</wp:posOffset>
            </wp:positionV>
            <wp:extent cx="764540" cy="890270"/>
            <wp:effectExtent l="0" t="0" r="0" b="5080"/>
            <wp:wrapSquare wrapText="bothSides" distT="0" distB="0" distL="114300" distR="114300"/>
            <wp:docPr id="1" name="image1.png" descr="C:\Users\tawiah.sam\Desktop\umat logo.jpg"/>
            <wp:cNvGraphicFramePr/>
            <a:graphic xmlns:a="http://schemas.openxmlformats.org/drawingml/2006/main">
              <a:graphicData uri="http://schemas.openxmlformats.org/drawingml/2006/picture">
                <pic:pic xmlns:pic="http://schemas.openxmlformats.org/drawingml/2006/picture">
                  <pic:nvPicPr>
                    <pic:cNvPr id="0" name="image1.png" descr="C:\Users\tawiah.sam\Desktop\umat logo.jpg"/>
                    <pic:cNvPicPr preferRelativeResize="0"/>
                  </pic:nvPicPr>
                  <pic:blipFill>
                    <a:blip r:embed="rId7"/>
                    <a:srcRect/>
                    <a:stretch>
                      <a:fillRect/>
                    </a:stretch>
                  </pic:blipFill>
                  <pic:spPr>
                    <a:xfrm>
                      <a:off x="0" y="0"/>
                      <a:ext cx="764540" cy="890270"/>
                    </a:xfrm>
                    <a:prstGeom prst="rect">
                      <a:avLst/>
                    </a:prstGeom>
                    <a:ln/>
                  </pic:spPr>
                </pic:pic>
              </a:graphicData>
            </a:graphic>
          </wp:anchor>
        </w:drawing>
      </w:r>
    </w:p>
    <w:p w14:paraId="662BF7B6" w14:textId="77777777" w:rsidR="0033702C" w:rsidRDefault="00B13DDF">
      <w:pPr>
        <w:spacing w:line="360" w:lineRule="auto"/>
        <w:jc w:val="both"/>
        <w:rPr>
          <w:rFonts w:ascii="Stardos Stencil" w:eastAsia="Stardos Stencil" w:hAnsi="Stardos Stencil" w:cs="Stardos Stencil"/>
          <w:b/>
          <w:sz w:val="36"/>
          <w:szCs w:val="36"/>
        </w:rPr>
      </w:pPr>
      <w:r>
        <w:rPr>
          <w:rFonts w:ascii="Arial Narrow" w:eastAsia="Arial Narrow" w:hAnsi="Arial Narrow" w:cs="Arial Narrow"/>
          <w:i/>
          <w:sz w:val="32"/>
          <w:szCs w:val="32"/>
        </w:rPr>
        <w:t>……………………………………………………...</w:t>
      </w:r>
      <w:r>
        <w:rPr>
          <w:rFonts w:ascii="Stardos Stencil" w:eastAsia="Stardos Stencil" w:hAnsi="Stardos Stencil" w:cs="Stardos Stencil"/>
          <w:sz w:val="32"/>
          <w:szCs w:val="32"/>
        </w:rPr>
        <w:t xml:space="preserve"> DEPARTMENT</w:t>
      </w:r>
    </w:p>
    <w:p w14:paraId="3FCAF748" w14:textId="77777777" w:rsidR="0033702C" w:rsidRDefault="0033702C">
      <w:pPr>
        <w:jc w:val="both"/>
        <w:rPr>
          <w:rFonts w:ascii="Arial Narrow" w:eastAsia="Arial Narrow" w:hAnsi="Arial Narrow" w:cs="Arial Narrow"/>
          <w:sz w:val="28"/>
          <w:szCs w:val="28"/>
        </w:rPr>
      </w:pPr>
    </w:p>
    <w:p w14:paraId="687D49CA" w14:textId="77777777" w:rsidR="0033702C" w:rsidRDefault="0033702C">
      <w:pPr>
        <w:jc w:val="center"/>
        <w:rPr>
          <w:rFonts w:ascii="Libre Baskerville" w:eastAsia="Libre Baskerville" w:hAnsi="Libre Baskerville" w:cs="Libre Baskerville"/>
          <w:b/>
          <w:sz w:val="22"/>
          <w:szCs w:val="22"/>
        </w:rPr>
      </w:pPr>
    </w:p>
    <w:p w14:paraId="2984B2E9" w14:textId="77777777" w:rsidR="0033702C" w:rsidRDefault="00B13DDF">
      <w:pPr>
        <w:jc w:val="center"/>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 xml:space="preserve">APPLICATION FOR GHANA CHAMBER OF MINES (GCM) - TERTIARY EDUCATION FUND (TEF) </w:t>
      </w:r>
      <w:r>
        <w:rPr>
          <w:rFonts w:ascii="Libre Baskerville" w:eastAsia="Libre Baskerville" w:hAnsi="Libre Baskerville" w:cs="Libre Baskerville"/>
          <w:b/>
          <w:color w:val="000000"/>
          <w:sz w:val="24"/>
          <w:szCs w:val="24"/>
        </w:rPr>
        <w:t xml:space="preserve">SECONDMENT OF FACULTY MEMBERS OF UMaT TO INDUSTRY </w:t>
      </w:r>
    </w:p>
    <w:p w14:paraId="62D05707" w14:textId="3DEDB14F" w:rsidR="0033702C" w:rsidRDefault="00B13DDF">
      <w:pPr>
        <w:tabs>
          <w:tab w:val="center" w:pos="5130"/>
          <w:tab w:val="left" w:pos="8715"/>
        </w:tabs>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ab/>
        <w:t>(202</w:t>
      </w:r>
      <w:r w:rsidR="00AD5B82">
        <w:rPr>
          <w:rFonts w:ascii="Libre Baskerville" w:eastAsia="Libre Baskerville" w:hAnsi="Libre Baskerville" w:cs="Libre Baskerville"/>
          <w:b/>
          <w:sz w:val="24"/>
          <w:szCs w:val="24"/>
        </w:rPr>
        <w:t>2</w:t>
      </w:r>
      <w:r>
        <w:rPr>
          <w:rFonts w:ascii="Libre Baskerville" w:eastAsia="Libre Baskerville" w:hAnsi="Libre Baskerville" w:cs="Libre Baskerville"/>
          <w:b/>
          <w:sz w:val="24"/>
          <w:szCs w:val="24"/>
        </w:rPr>
        <w:t>/202</w:t>
      </w:r>
      <w:r w:rsidR="00AD5B82">
        <w:rPr>
          <w:rFonts w:ascii="Libre Baskerville" w:eastAsia="Libre Baskerville" w:hAnsi="Libre Baskerville" w:cs="Libre Baskerville"/>
          <w:b/>
          <w:sz w:val="24"/>
          <w:szCs w:val="24"/>
        </w:rPr>
        <w:t>3</w:t>
      </w:r>
      <w:r>
        <w:rPr>
          <w:rFonts w:ascii="Libre Baskerville" w:eastAsia="Libre Baskerville" w:hAnsi="Libre Baskerville" w:cs="Libre Baskerville"/>
          <w:b/>
          <w:sz w:val="24"/>
          <w:szCs w:val="24"/>
        </w:rPr>
        <w:t xml:space="preserve"> ACADEMIC YEAR)</w:t>
      </w:r>
      <w:r>
        <w:rPr>
          <w:rFonts w:ascii="Libre Baskerville" w:eastAsia="Libre Baskerville" w:hAnsi="Libre Baskerville" w:cs="Libre Baskerville"/>
          <w:b/>
          <w:sz w:val="24"/>
          <w:szCs w:val="24"/>
        </w:rPr>
        <w:tab/>
      </w:r>
    </w:p>
    <w:p w14:paraId="6DA7A532" w14:textId="77777777" w:rsidR="0033702C" w:rsidRDefault="0033702C">
      <w:pPr>
        <w:jc w:val="both"/>
        <w:rPr>
          <w:rFonts w:ascii="Arial Narrow" w:eastAsia="Arial Narrow" w:hAnsi="Arial Narrow" w:cs="Arial Narrow"/>
          <w:sz w:val="19"/>
          <w:szCs w:val="19"/>
        </w:rPr>
      </w:pPr>
    </w:p>
    <w:p w14:paraId="53796074" w14:textId="77777777" w:rsidR="0033702C" w:rsidRDefault="00B13DDF">
      <w:pPr>
        <w:jc w:val="both"/>
        <w:rPr>
          <w:rFonts w:ascii="Arial Narrow" w:eastAsia="Arial Narrow" w:hAnsi="Arial Narrow" w:cs="Arial Narrow"/>
          <w:b/>
          <w:sz w:val="24"/>
          <w:szCs w:val="24"/>
        </w:rPr>
      </w:pPr>
      <w:r>
        <w:rPr>
          <w:rFonts w:ascii="Arial Narrow" w:eastAsia="Arial Narrow" w:hAnsi="Arial Narrow" w:cs="Arial Narrow"/>
          <w:b/>
          <w:sz w:val="24"/>
          <w:szCs w:val="24"/>
        </w:rPr>
        <w:t>Relevant Information/Instruction for the GCM-TEF Application Form for Secondment of Faculty Members of UMaT to Industry</w:t>
      </w:r>
    </w:p>
    <w:p w14:paraId="7276348E" w14:textId="77777777" w:rsidR="0033702C" w:rsidRDefault="0033702C">
      <w:pPr>
        <w:jc w:val="both"/>
        <w:rPr>
          <w:rFonts w:ascii="Arial Narrow" w:eastAsia="Arial Narrow" w:hAnsi="Arial Narrow" w:cs="Arial Narrow"/>
          <w:b/>
          <w:sz w:val="24"/>
          <w:szCs w:val="24"/>
        </w:rPr>
      </w:pPr>
    </w:p>
    <w:p w14:paraId="3BCB1370" w14:textId="77777777" w:rsidR="0033702C" w:rsidRDefault="00B13DDF">
      <w:pPr>
        <w:jc w:val="both"/>
        <w:rPr>
          <w:rFonts w:ascii="Arial Narrow" w:eastAsia="Arial Narrow" w:hAnsi="Arial Narrow" w:cs="Arial Narrow"/>
          <w:b/>
          <w:sz w:val="24"/>
          <w:szCs w:val="24"/>
        </w:rPr>
      </w:pPr>
      <w:r>
        <w:rPr>
          <w:rFonts w:ascii="Arial Narrow" w:eastAsia="Arial Narrow" w:hAnsi="Arial Narrow" w:cs="Arial Narrow"/>
          <w:b/>
          <w:sz w:val="24"/>
          <w:szCs w:val="24"/>
        </w:rPr>
        <w:t>1.</w:t>
      </w:r>
      <w:r>
        <w:rPr>
          <w:rFonts w:ascii="Arial Narrow" w:eastAsia="Arial Narrow" w:hAnsi="Arial Narrow" w:cs="Arial Narrow"/>
          <w:b/>
          <w:sz w:val="24"/>
          <w:szCs w:val="24"/>
        </w:rPr>
        <w:tab/>
        <w:t>Introduction</w:t>
      </w:r>
    </w:p>
    <w:p w14:paraId="78B5803B" w14:textId="77777777" w:rsidR="0033702C" w:rsidRDefault="0033702C">
      <w:pPr>
        <w:jc w:val="both"/>
        <w:rPr>
          <w:rFonts w:ascii="Arial Narrow" w:eastAsia="Arial Narrow" w:hAnsi="Arial Narrow" w:cs="Arial Narrow"/>
          <w:b/>
          <w:sz w:val="24"/>
          <w:szCs w:val="24"/>
        </w:rPr>
      </w:pPr>
    </w:p>
    <w:p w14:paraId="660561C0" w14:textId="77777777" w:rsidR="0033702C" w:rsidRDefault="00B13DDF">
      <w:pPr>
        <w:jc w:val="both"/>
        <w:rPr>
          <w:rFonts w:ascii="Arial Narrow" w:eastAsia="Arial Narrow" w:hAnsi="Arial Narrow" w:cs="Arial Narrow"/>
          <w:sz w:val="24"/>
          <w:szCs w:val="24"/>
        </w:rPr>
      </w:pPr>
      <w:bookmarkStart w:id="0" w:name="_gjdgxs" w:colFirst="0" w:colLast="0"/>
      <w:bookmarkEnd w:id="0"/>
      <w:r>
        <w:rPr>
          <w:rFonts w:ascii="Arial Narrow" w:eastAsia="Arial Narrow" w:hAnsi="Arial Narrow" w:cs="Arial Narrow"/>
          <w:sz w:val="24"/>
          <w:szCs w:val="24"/>
        </w:rPr>
        <w:t>The objective is to provide placement for secondment of Faculty members (Senior Lecturers and below) in Mining firms to strengthen industry-academia linkage for mutual benefit of the industry and the University. The period will be 3-6 weeks per year within the Lecturer’s leave period and the Companies’ availability as agreed upon between the University Training Unit and the Human Resources Office of the Mining companies. The procedure for the secondment will be initiated by UMaT September, each year. The average yearly budget for the Secondment Programme shall be the cedi equivalent of $7,600 to cover for transportation and other logistics.</w:t>
      </w:r>
    </w:p>
    <w:p w14:paraId="7783E893" w14:textId="77777777" w:rsidR="0033702C" w:rsidRDefault="0033702C">
      <w:pPr>
        <w:jc w:val="both"/>
        <w:rPr>
          <w:rFonts w:ascii="Arial Narrow" w:eastAsia="Arial Narrow" w:hAnsi="Arial Narrow" w:cs="Arial Narrow"/>
          <w:sz w:val="24"/>
          <w:szCs w:val="24"/>
        </w:rPr>
      </w:pPr>
    </w:p>
    <w:p w14:paraId="1A7E49D6" w14:textId="77777777" w:rsidR="0033702C" w:rsidRDefault="00B13DDF">
      <w:pPr>
        <w:jc w:val="both"/>
        <w:rPr>
          <w:rFonts w:ascii="Arial Narrow" w:eastAsia="Arial Narrow" w:hAnsi="Arial Narrow" w:cs="Arial Narrow"/>
          <w:b/>
          <w:i/>
          <w:sz w:val="24"/>
          <w:szCs w:val="24"/>
        </w:rPr>
      </w:pPr>
      <w:r>
        <w:rPr>
          <w:rFonts w:ascii="Arial Narrow" w:eastAsia="Arial Narrow" w:hAnsi="Arial Narrow" w:cs="Arial Narrow"/>
          <w:b/>
          <w:i/>
          <w:sz w:val="24"/>
          <w:szCs w:val="24"/>
        </w:rPr>
        <w:t>1.1</w:t>
      </w:r>
      <w:r>
        <w:rPr>
          <w:rFonts w:ascii="Arial Narrow" w:eastAsia="Arial Narrow" w:hAnsi="Arial Narrow" w:cs="Arial Narrow"/>
          <w:b/>
          <w:i/>
          <w:sz w:val="24"/>
          <w:szCs w:val="24"/>
        </w:rPr>
        <w:tab/>
        <w:t>Eligibility Criteria</w:t>
      </w:r>
    </w:p>
    <w:p w14:paraId="79E36916" w14:textId="77777777" w:rsidR="0033702C" w:rsidRDefault="0033702C">
      <w:pPr>
        <w:jc w:val="both"/>
        <w:rPr>
          <w:rFonts w:ascii="Arial Narrow" w:eastAsia="Arial Narrow" w:hAnsi="Arial Narrow" w:cs="Arial Narrow"/>
          <w:sz w:val="24"/>
          <w:szCs w:val="24"/>
        </w:rPr>
      </w:pPr>
    </w:p>
    <w:p w14:paraId="244362BC" w14:textId="77777777" w:rsidR="0033702C" w:rsidRDefault="00B13DDF">
      <w:pPr>
        <w:spacing w:after="120"/>
        <w:jc w:val="both"/>
        <w:rPr>
          <w:rFonts w:ascii="Arial Narrow" w:eastAsia="Arial Narrow" w:hAnsi="Arial Narrow" w:cs="Arial Narrow"/>
          <w:i/>
          <w:sz w:val="24"/>
          <w:szCs w:val="24"/>
        </w:rPr>
      </w:pPr>
      <w:r>
        <w:rPr>
          <w:rFonts w:ascii="Arial Narrow" w:eastAsia="Arial Narrow" w:hAnsi="Arial Narrow" w:cs="Arial Narrow"/>
          <w:i/>
          <w:sz w:val="24"/>
          <w:szCs w:val="24"/>
        </w:rPr>
        <w:t>To be eligible for the Secondment, an applicant must:</w:t>
      </w:r>
    </w:p>
    <w:p w14:paraId="482F95F2" w14:textId="77777777" w:rsidR="0033702C" w:rsidRDefault="00B13DDF">
      <w:pPr>
        <w:numPr>
          <w:ilvl w:val="0"/>
          <w:numId w:val="2"/>
        </w:numPr>
        <w:spacing w:after="120"/>
        <w:jc w:val="both"/>
        <w:rPr>
          <w:rFonts w:ascii="Arial Narrow" w:eastAsia="Arial Narrow" w:hAnsi="Arial Narrow" w:cs="Arial Narrow"/>
          <w:sz w:val="24"/>
          <w:szCs w:val="24"/>
        </w:rPr>
      </w:pPr>
      <w:r>
        <w:rPr>
          <w:rFonts w:ascii="Arial Narrow" w:eastAsia="Arial Narrow" w:hAnsi="Arial Narrow" w:cs="Arial Narrow"/>
          <w:sz w:val="24"/>
          <w:szCs w:val="24"/>
        </w:rPr>
        <w:t>Be a Faculty Member at the level of Senior Lecturer or below,</w:t>
      </w:r>
    </w:p>
    <w:p w14:paraId="649841F9" w14:textId="77777777" w:rsidR="0033702C" w:rsidRDefault="00B13DDF">
      <w:pPr>
        <w:numPr>
          <w:ilvl w:val="0"/>
          <w:numId w:val="2"/>
        </w:numPr>
        <w:spacing w:after="120"/>
        <w:jc w:val="both"/>
        <w:rPr>
          <w:rFonts w:ascii="Arial Narrow" w:eastAsia="Arial Narrow" w:hAnsi="Arial Narrow" w:cs="Arial Narrow"/>
          <w:sz w:val="24"/>
          <w:szCs w:val="24"/>
        </w:rPr>
      </w:pPr>
      <w:r>
        <w:rPr>
          <w:rFonts w:ascii="Arial Narrow" w:eastAsia="Arial Narrow" w:hAnsi="Arial Narrow" w:cs="Arial Narrow"/>
          <w:sz w:val="24"/>
          <w:szCs w:val="24"/>
        </w:rPr>
        <w:t xml:space="preserve">Not have benefitted on two concurrent times, unless there are no other applicants for the same position, </w:t>
      </w:r>
    </w:p>
    <w:p w14:paraId="4027DE39" w14:textId="77777777" w:rsidR="0033702C" w:rsidRDefault="00B13DDF">
      <w:pPr>
        <w:numPr>
          <w:ilvl w:val="0"/>
          <w:numId w:val="2"/>
        </w:numPr>
        <w:spacing w:after="120"/>
        <w:jc w:val="both"/>
        <w:rPr>
          <w:rFonts w:ascii="Arial Narrow" w:eastAsia="Arial Narrow" w:hAnsi="Arial Narrow" w:cs="Arial Narrow"/>
          <w:sz w:val="24"/>
          <w:szCs w:val="24"/>
        </w:rPr>
      </w:pPr>
      <w:r>
        <w:rPr>
          <w:rFonts w:ascii="Arial Narrow" w:eastAsia="Arial Narrow" w:hAnsi="Arial Narrow" w:cs="Arial Narrow"/>
          <w:sz w:val="24"/>
          <w:szCs w:val="24"/>
        </w:rPr>
        <w:t>Submit the application form before the deadline, and</w:t>
      </w:r>
    </w:p>
    <w:p w14:paraId="548518B5" w14:textId="77777777" w:rsidR="0033702C" w:rsidRDefault="00B13DDF">
      <w:pPr>
        <w:numPr>
          <w:ilvl w:val="0"/>
          <w:numId w:val="2"/>
        </w:numPr>
        <w:spacing w:after="120"/>
        <w:jc w:val="both"/>
        <w:rPr>
          <w:rFonts w:ascii="Arial Narrow" w:eastAsia="Arial Narrow" w:hAnsi="Arial Narrow" w:cs="Arial Narrow"/>
          <w:sz w:val="24"/>
          <w:szCs w:val="24"/>
        </w:rPr>
      </w:pPr>
      <w:r>
        <w:rPr>
          <w:rFonts w:ascii="Arial Narrow" w:eastAsia="Arial Narrow" w:hAnsi="Arial Narrow" w:cs="Arial Narrow"/>
          <w:sz w:val="24"/>
          <w:szCs w:val="24"/>
        </w:rPr>
        <w:t>Undertake to comply with principles set out by the Governing Board, UMaT and the Mine regarding the Secondment Programme.</w:t>
      </w:r>
    </w:p>
    <w:p w14:paraId="1111B618" w14:textId="77777777" w:rsidR="0033702C" w:rsidRDefault="00B13DDF">
      <w:pPr>
        <w:spacing w:before="280"/>
        <w:jc w:val="both"/>
        <w:rPr>
          <w:rFonts w:ascii="Arial Narrow" w:eastAsia="Arial Narrow" w:hAnsi="Arial Narrow" w:cs="Arial Narrow"/>
          <w:b/>
          <w:sz w:val="24"/>
          <w:szCs w:val="24"/>
        </w:rPr>
      </w:pPr>
      <w:r>
        <w:rPr>
          <w:rFonts w:ascii="Arial Narrow" w:eastAsia="Arial Narrow" w:hAnsi="Arial Narrow" w:cs="Arial Narrow"/>
          <w:b/>
          <w:sz w:val="24"/>
          <w:szCs w:val="24"/>
        </w:rPr>
        <w:t>1.2</w:t>
      </w:r>
      <w:r>
        <w:rPr>
          <w:rFonts w:ascii="Arial Narrow" w:eastAsia="Arial Narrow" w:hAnsi="Arial Narrow" w:cs="Arial Narrow"/>
          <w:b/>
          <w:sz w:val="24"/>
          <w:szCs w:val="24"/>
        </w:rPr>
        <w:tab/>
        <w:t>Accessing the Secondment Programme</w:t>
      </w:r>
    </w:p>
    <w:p w14:paraId="6F835E21" w14:textId="403DD6FA" w:rsidR="0033702C" w:rsidRDefault="00B13DDF">
      <w:pPr>
        <w:numPr>
          <w:ilvl w:val="0"/>
          <w:numId w:val="1"/>
        </w:numPr>
        <w:pBdr>
          <w:top w:val="nil"/>
          <w:left w:val="nil"/>
          <w:bottom w:val="nil"/>
          <w:right w:val="nil"/>
          <w:between w:val="nil"/>
        </w:pBdr>
        <w:spacing w:after="120" w:line="259" w:lineRule="auto"/>
        <w:ind w:hanging="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University Training Unit will call for application from interested Faculty for Secondment Programme </w:t>
      </w:r>
      <w:r w:rsidR="003923E5" w:rsidRPr="00645D84">
        <w:rPr>
          <w:rFonts w:ascii="Arial Narrow" w:eastAsia="Arial Narrow" w:hAnsi="Arial Narrow" w:cs="Arial Narrow"/>
          <w:color w:val="000000"/>
          <w:sz w:val="24"/>
          <w:szCs w:val="24"/>
        </w:rPr>
        <w:t>28</w:t>
      </w:r>
      <w:r w:rsidRPr="00645D84">
        <w:rPr>
          <w:rFonts w:ascii="Arial Narrow" w:eastAsia="Arial Narrow" w:hAnsi="Arial Narrow" w:cs="Arial Narrow"/>
          <w:color w:val="000000"/>
          <w:sz w:val="24"/>
          <w:szCs w:val="24"/>
          <w:vertAlign w:val="superscript"/>
        </w:rPr>
        <w:t>th</w:t>
      </w:r>
      <w:r w:rsidRPr="00645D84">
        <w:rPr>
          <w:rFonts w:ascii="Arial Narrow" w:eastAsia="Arial Narrow" w:hAnsi="Arial Narrow" w:cs="Arial Narrow"/>
          <w:color w:val="000000"/>
          <w:sz w:val="24"/>
          <w:szCs w:val="24"/>
        </w:rPr>
        <w:t xml:space="preserve"> </w:t>
      </w:r>
      <w:r w:rsidR="003923E5" w:rsidRPr="00645D84">
        <w:rPr>
          <w:rFonts w:ascii="Arial Narrow" w:eastAsia="Arial Narrow" w:hAnsi="Arial Narrow" w:cs="Arial Narrow"/>
          <w:color w:val="000000"/>
          <w:sz w:val="24"/>
          <w:szCs w:val="24"/>
        </w:rPr>
        <w:t>J</w:t>
      </w:r>
      <w:r w:rsidR="003923E5">
        <w:rPr>
          <w:rFonts w:ascii="Arial Narrow" w:eastAsia="Arial Narrow" w:hAnsi="Arial Narrow" w:cs="Arial Narrow"/>
          <w:color w:val="000000"/>
          <w:sz w:val="24"/>
          <w:szCs w:val="24"/>
        </w:rPr>
        <w:t>uly, 2023</w:t>
      </w:r>
      <w:r>
        <w:rPr>
          <w:rFonts w:ascii="Arial Narrow" w:eastAsia="Arial Narrow" w:hAnsi="Arial Narrow" w:cs="Arial Narrow"/>
          <w:color w:val="000000"/>
          <w:sz w:val="24"/>
          <w:szCs w:val="24"/>
        </w:rPr>
        <w:t>.</w:t>
      </w:r>
    </w:p>
    <w:p w14:paraId="1DBF06A9" w14:textId="77777777" w:rsidR="0033702C" w:rsidRDefault="00B13DDF">
      <w:pPr>
        <w:numPr>
          <w:ilvl w:val="0"/>
          <w:numId w:val="1"/>
        </w:numPr>
        <w:pBdr>
          <w:top w:val="nil"/>
          <w:left w:val="nil"/>
          <w:bottom w:val="nil"/>
          <w:right w:val="nil"/>
          <w:between w:val="nil"/>
        </w:pBdr>
        <w:spacing w:after="120" w:line="259" w:lineRule="auto"/>
        <w:ind w:hanging="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Lecturers will complete the application form, indicate preferred Mining Companies and Department/Section of their choice.</w:t>
      </w:r>
    </w:p>
    <w:p w14:paraId="446F3FCF" w14:textId="15976F6D" w:rsidR="0033702C" w:rsidRDefault="00B13DDF">
      <w:pPr>
        <w:numPr>
          <w:ilvl w:val="0"/>
          <w:numId w:val="1"/>
        </w:numPr>
        <w:pBdr>
          <w:top w:val="nil"/>
          <w:left w:val="nil"/>
          <w:bottom w:val="nil"/>
          <w:right w:val="nil"/>
          <w:between w:val="nil"/>
        </w:pBdr>
        <w:spacing w:after="120" w:line="259" w:lineRule="auto"/>
        <w:ind w:hanging="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form should be endorsed by Heads of Department before submission by</w:t>
      </w:r>
      <w:r w:rsidR="00645D84">
        <w:rPr>
          <w:rFonts w:ascii="Arial Narrow" w:eastAsia="Arial Narrow" w:hAnsi="Arial Narrow" w:cs="Arial Narrow"/>
          <w:color w:val="000000"/>
          <w:sz w:val="24"/>
          <w:szCs w:val="24"/>
        </w:rPr>
        <w:t xml:space="preserve"> 4</w:t>
      </w:r>
      <w:r w:rsidR="00645D84" w:rsidRPr="00645D84">
        <w:rPr>
          <w:rFonts w:ascii="Arial Narrow" w:eastAsia="Arial Narrow" w:hAnsi="Arial Narrow" w:cs="Arial Narrow"/>
          <w:color w:val="000000"/>
          <w:sz w:val="24"/>
          <w:szCs w:val="24"/>
          <w:vertAlign w:val="superscript"/>
        </w:rPr>
        <w:t>th</w:t>
      </w:r>
      <w:r w:rsidR="00645D84">
        <w:rPr>
          <w:rFonts w:ascii="Arial Narrow" w:eastAsia="Arial Narrow" w:hAnsi="Arial Narrow" w:cs="Arial Narrow"/>
          <w:color w:val="000000"/>
          <w:sz w:val="24"/>
          <w:szCs w:val="24"/>
        </w:rPr>
        <w:t xml:space="preserve"> August</w:t>
      </w:r>
      <w:r>
        <w:rPr>
          <w:rFonts w:ascii="Arial Narrow" w:eastAsia="Arial Narrow" w:hAnsi="Arial Narrow" w:cs="Arial Narrow"/>
          <w:color w:val="000000"/>
          <w:sz w:val="24"/>
          <w:szCs w:val="24"/>
        </w:rPr>
        <w:t xml:space="preserve"> each year. </w:t>
      </w:r>
    </w:p>
    <w:p w14:paraId="7AEFCDCC" w14:textId="77777777" w:rsidR="0033702C" w:rsidRDefault="00B13DDF">
      <w:pPr>
        <w:numPr>
          <w:ilvl w:val="0"/>
          <w:numId w:val="1"/>
        </w:numPr>
        <w:pBdr>
          <w:top w:val="nil"/>
          <w:left w:val="nil"/>
          <w:bottom w:val="nil"/>
          <w:right w:val="nil"/>
          <w:between w:val="nil"/>
        </w:pBdr>
        <w:spacing w:after="120" w:line="259" w:lineRule="auto"/>
        <w:ind w:hanging="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Preference will be given to those who have not benefited before or in the previous year in case there is limited number of placements.</w:t>
      </w:r>
    </w:p>
    <w:p w14:paraId="5CB71700" w14:textId="506FEF3A" w:rsidR="0033702C" w:rsidRDefault="00B13DDF">
      <w:pPr>
        <w:numPr>
          <w:ilvl w:val="0"/>
          <w:numId w:val="1"/>
        </w:numPr>
        <w:pBdr>
          <w:top w:val="nil"/>
          <w:left w:val="nil"/>
          <w:bottom w:val="nil"/>
          <w:right w:val="nil"/>
          <w:between w:val="nil"/>
        </w:pBdr>
        <w:spacing w:after="120" w:line="259" w:lineRule="auto"/>
        <w:ind w:hanging="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University Training Unit will make a request for available placements to the Governing Board through the Vice Chancellor </w:t>
      </w:r>
      <w:r w:rsidRPr="00645D84">
        <w:rPr>
          <w:rFonts w:ascii="Arial Narrow" w:eastAsia="Arial Narrow" w:hAnsi="Arial Narrow" w:cs="Arial Narrow"/>
          <w:color w:val="000000"/>
          <w:sz w:val="24"/>
          <w:szCs w:val="24"/>
        </w:rPr>
        <w:t>by 7</w:t>
      </w:r>
      <w:r w:rsidRPr="00645D84">
        <w:rPr>
          <w:rFonts w:ascii="Arial Narrow" w:eastAsia="Arial Narrow" w:hAnsi="Arial Narrow" w:cs="Arial Narrow"/>
          <w:color w:val="000000"/>
          <w:sz w:val="24"/>
          <w:szCs w:val="24"/>
          <w:vertAlign w:val="superscript"/>
        </w:rPr>
        <w:t>th</w:t>
      </w:r>
      <w:r w:rsidRPr="00645D84">
        <w:rPr>
          <w:rFonts w:ascii="Arial Narrow" w:eastAsia="Arial Narrow" w:hAnsi="Arial Narrow" w:cs="Arial Narrow"/>
          <w:color w:val="000000"/>
          <w:sz w:val="24"/>
          <w:szCs w:val="24"/>
        </w:rPr>
        <w:t xml:space="preserve"> </w:t>
      </w:r>
      <w:r w:rsidR="00645D84" w:rsidRPr="00645D84">
        <w:rPr>
          <w:rFonts w:ascii="Arial Narrow" w:eastAsia="Arial Narrow" w:hAnsi="Arial Narrow" w:cs="Arial Narrow"/>
          <w:color w:val="000000"/>
          <w:sz w:val="24"/>
          <w:szCs w:val="24"/>
        </w:rPr>
        <w:t>August</w:t>
      </w:r>
      <w:r>
        <w:rPr>
          <w:rFonts w:ascii="Arial Narrow" w:eastAsia="Arial Narrow" w:hAnsi="Arial Narrow" w:cs="Arial Narrow"/>
          <w:color w:val="000000"/>
          <w:sz w:val="24"/>
          <w:szCs w:val="24"/>
        </w:rPr>
        <w:t xml:space="preserve"> each year (The Unit will indicate the two vacation periods in the University).</w:t>
      </w:r>
    </w:p>
    <w:p w14:paraId="76FA39A2" w14:textId="2BE654A9" w:rsidR="0033702C" w:rsidRPr="00645D84" w:rsidRDefault="00B13DDF">
      <w:pPr>
        <w:numPr>
          <w:ilvl w:val="0"/>
          <w:numId w:val="1"/>
        </w:numPr>
        <w:pBdr>
          <w:top w:val="nil"/>
          <w:left w:val="nil"/>
          <w:bottom w:val="nil"/>
          <w:right w:val="nil"/>
          <w:between w:val="nil"/>
        </w:pBdr>
        <w:spacing w:after="120" w:line="259" w:lineRule="auto"/>
        <w:ind w:hanging="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The Governing Board will respond with available placement opportunities at the individual mining companies </w:t>
      </w:r>
      <w:r w:rsidRPr="00645D84">
        <w:rPr>
          <w:rFonts w:ascii="Arial Narrow" w:eastAsia="Arial Narrow" w:hAnsi="Arial Narrow" w:cs="Arial Narrow"/>
          <w:color w:val="000000"/>
          <w:sz w:val="24"/>
          <w:szCs w:val="24"/>
        </w:rPr>
        <w:t>by 7</w:t>
      </w:r>
      <w:r w:rsidRPr="00645D84">
        <w:rPr>
          <w:rFonts w:ascii="Arial Narrow" w:eastAsia="Arial Narrow" w:hAnsi="Arial Narrow" w:cs="Arial Narrow"/>
          <w:color w:val="000000"/>
          <w:sz w:val="24"/>
          <w:szCs w:val="24"/>
          <w:vertAlign w:val="superscript"/>
        </w:rPr>
        <w:t>th</w:t>
      </w:r>
      <w:r w:rsidRPr="00645D84">
        <w:rPr>
          <w:rFonts w:ascii="Arial Narrow" w:eastAsia="Arial Narrow" w:hAnsi="Arial Narrow" w:cs="Arial Narrow"/>
          <w:color w:val="000000"/>
          <w:sz w:val="24"/>
          <w:szCs w:val="24"/>
        </w:rPr>
        <w:t xml:space="preserve"> </w:t>
      </w:r>
      <w:r w:rsidR="00645D84" w:rsidRPr="00645D84">
        <w:rPr>
          <w:rFonts w:ascii="Arial Narrow" w:eastAsia="Arial Narrow" w:hAnsi="Arial Narrow" w:cs="Arial Narrow"/>
          <w:color w:val="000000"/>
          <w:sz w:val="24"/>
          <w:szCs w:val="24"/>
        </w:rPr>
        <w:t>September</w:t>
      </w:r>
      <w:r w:rsidRPr="00645D84">
        <w:rPr>
          <w:rFonts w:ascii="Arial Narrow" w:eastAsia="Arial Narrow" w:hAnsi="Arial Narrow" w:cs="Arial Narrow"/>
          <w:color w:val="000000"/>
          <w:sz w:val="24"/>
          <w:szCs w:val="24"/>
        </w:rPr>
        <w:t>, each year.</w:t>
      </w:r>
    </w:p>
    <w:p w14:paraId="7881E57F" w14:textId="77777777" w:rsidR="0033702C" w:rsidRDefault="00B13DDF">
      <w:pPr>
        <w:numPr>
          <w:ilvl w:val="0"/>
          <w:numId w:val="1"/>
        </w:numPr>
        <w:pBdr>
          <w:top w:val="nil"/>
          <w:left w:val="nil"/>
          <w:bottom w:val="nil"/>
          <w:right w:val="nil"/>
          <w:between w:val="nil"/>
        </w:pBdr>
        <w:spacing w:after="120" w:line="259" w:lineRule="auto"/>
        <w:ind w:hanging="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Selection of qualified members will be done by the Training Unit and the Standing UMaT GCM-TEF Committee by 22</w:t>
      </w:r>
      <w:r>
        <w:rPr>
          <w:rFonts w:ascii="Arial Narrow" w:eastAsia="Arial Narrow" w:hAnsi="Arial Narrow" w:cs="Arial Narrow"/>
          <w:color w:val="000000"/>
          <w:sz w:val="24"/>
          <w:szCs w:val="24"/>
          <w:vertAlign w:val="superscript"/>
        </w:rPr>
        <w:t>nd</w:t>
      </w:r>
      <w:r>
        <w:rPr>
          <w:rFonts w:ascii="Arial Narrow" w:eastAsia="Arial Narrow" w:hAnsi="Arial Narrow" w:cs="Arial Narrow"/>
          <w:color w:val="000000"/>
          <w:sz w:val="24"/>
          <w:szCs w:val="24"/>
        </w:rPr>
        <w:t xml:space="preserve"> November each year.</w:t>
      </w:r>
    </w:p>
    <w:p w14:paraId="2A4E3DD6" w14:textId="77777777" w:rsidR="0033702C" w:rsidRDefault="00B13DDF">
      <w:pPr>
        <w:numPr>
          <w:ilvl w:val="0"/>
          <w:numId w:val="1"/>
        </w:numPr>
        <w:pBdr>
          <w:top w:val="nil"/>
          <w:left w:val="nil"/>
          <w:bottom w:val="nil"/>
          <w:right w:val="nil"/>
          <w:between w:val="nil"/>
        </w:pBdr>
        <w:spacing w:after="120" w:line="259" w:lineRule="auto"/>
        <w:ind w:hanging="720"/>
        <w:jc w:val="both"/>
        <w:rPr>
          <w:rFonts w:ascii="Arial Narrow" w:eastAsia="Arial Narrow" w:hAnsi="Arial Narrow" w:cs="Arial Narrow"/>
          <w:color w:val="000000"/>
          <w:sz w:val="24"/>
          <w:szCs w:val="24"/>
          <w:u w:val="single"/>
        </w:rPr>
      </w:pPr>
      <w:r>
        <w:rPr>
          <w:rFonts w:ascii="Arial Narrow" w:eastAsia="Arial Narrow" w:hAnsi="Arial Narrow" w:cs="Arial Narrow"/>
          <w:color w:val="000000"/>
          <w:sz w:val="24"/>
          <w:szCs w:val="24"/>
        </w:rPr>
        <w:t>Letters to selected staff will be sent out by 30</w:t>
      </w:r>
      <w:r>
        <w:rPr>
          <w:rFonts w:ascii="Arial Narrow" w:eastAsia="Arial Narrow" w:hAnsi="Arial Narrow" w:cs="Arial Narrow"/>
          <w:color w:val="000000"/>
          <w:sz w:val="24"/>
          <w:szCs w:val="24"/>
          <w:vertAlign w:val="superscript"/>
        </w:rPr>
        <w:t>th</w:t>
      </w:r>
      <w:r>
        <w:rPr>
          <w:rFonts w:ascii="Arial Narrow" w:eastAsia="Arial Narrow" w:hAnsi="Arial Narrow" w:cs="Arial Narrow"/>
          <w:color w:val="000000"/>
          <w:sz w:val="24"/>
          <w:szCs w:val="24"/>
        </w:rPr>
        <w:t xml:space="preserve"> November each year.</w:t>
      </w:r>
    </w:p>
    <w:p w14:paraId="16A70898" w14:textId="77777777" w:rsidR="0033702C" w:rsidRDefault="00B13DDF">
      <w:pPr>
        <w:numPr>
          <w:ilvl w:val="0"/>
          <w:numId w:val="1"/>
        </w:numPr>
        <w:pBdr>
          <w:top w:val="nil"/>
          <w:left w:val="nil"/>
          <w:bottom w:val="nil"/>
          <w:right w:val="nil"/>
          <w:between w:val="nil"/>
        </w:pBdr>
        <w:spacing w:after="120" w:line="259" w:lineRule="auto"/>
        <w:ind w:hanging="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Secondment period will be four to six weeks during the long vacation and three weeks during the Christmas break.</w:t>
      </w:r>
    </w:p>
    <w:p w14:paraId="21017E7F" w14:textId="77777777" w:rsidR="0033702C" w:rsidRDefault="00B13DDF">
      <w:pPr>
        <w:numPr>
          <w:ilvl w:val="0"/>
          <w:numId w:val="1"/>
        </w:numPr>
        <w:pBdr>
          <w:top w:val="nil"/>
          <w:left w:val="nil"/>
          <w:bottom w:val="nil"/>
          <w:right w:val="nil"/>
          <w:between w:val="nil"/>
        </w:pBdr>
        <w:spacing w:after="120" w:line="259" w:lineRule="auto"/>
        <w:ind w:hanging="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Host Mining Company will take care of the Lecturers’ transportation, accommodation, feeding and other logistics.</w:t>
      </w:r>
    </w:p>
    <w:p w14:paraId="515E885B" w14:textId="77777777" w:rsidR="0033702C" w:rsidRDefault="00B13DDF">
      <w:pPr>
        <w:numPr>
          <w:ilvl w:val="0"/>
          <w:numId w:val="1"/>
        </w:numPr>
        <w:pBdr>
          <w:top w:val="nil"/>
          <w:left w:val="nil"/>
          <w:bottom w:val="nil"/>
          <w:right w:val="nil"/>
          <w:between w:val="nil"/>
        </w:pBdr>
        <w:spacing w:after="120" w:line="259" w:lineRule="auto"/>
        <w:ind w:hanging="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Lecturers on secondment will deliver a seminar upon successful completion of the period. </w:t>
      </w:r>
    </w:p>
    <w:p w14:paraId="32A1EA12" w14:textId="77777777" w:rsidR="0033702C" w:rsidRDefault="0033702C">
      <w:pPr>
        <w:rPr>
          <w:rFonts w:ascii="Arial Narrow" w:eastAsia="Arial Narrow" w:hAnsi="Arial Narrow" w:cs="Arial Narrow"/>
          <w:sz w:val="24"/>
          <w:szCs w:val="24"/>
        </w:rPr>
      </w:pPr>
    </w:p>
    <w:p w14:paraId="089D744F" w14:textId="77777777" w:rsidR="0033702C" w:rsidRDefault="0033702C">
      <w:pPr>
        <w:rPr>
          <w:rFonts w:ascii="Arial Narrow" w:eastAsia="Arial Narrow" w:hAnsi="Arial Narrow" w:cs="Arial Narrow"/>
          <w:sz w:val="24"/>
          <w:szCs w:val="24"/>
        </w:rPr>
      </w:pPr>
    </w:p>
    <w:p w14:paraId="1B839DEB" w14:textId="77777777" w:rsidR="0033702C" w:rsidRDefault="00B13DDF">
      <w:pPr>
        <w:rPr>
          <w:rFonts w:ascii="Arial Narrow" w:eastAsia="Arial Narrow" w:hAnsi="Arial Narrow" w:cs="Arial Narrow"/>
          <w:sz w:val="19"/>
          <w:szCs w:val="19"/>
        </w:rPr>
      </w:pPr>
      <w:r>
        <w:br w:type="page"/>
      </w:r>
    </w:p>
    <w:p w14:paraId="234E0216" w14:textId="77777777" w:rsidR="0033702C" w:rsidRDefault="00B13DDF">
      <w:pPr>
        <w:shd w:val="clear" w:color="auto" w:fill="FFFFFF"/>
        <w:spacing w:before="42"/>
        <w:jc w:val="center"/>
        <w:rPr>
          <w:rFonts w:ascii="Arial Narrow" w:eastAsia="Arial Narrow" w:hAnsi="Arial Narrow" w:cs="Arial Narrow"/>
          <w:b/>
          <w:i/>
          <w:sz w:val="24"/>
          <w:szCs w:val="24"/>
          <w:u w:val="single"/>
        </w:rPr>
      </w:pPr>
      <w:r>
        <w:rPr>
          <w:rFonts w:ascii="Arial Narrow" w:eastAsia="Arial Narrow" w:hAnsi="Arial Narrow" w:cs="Arial Narrow"/>
          <w:b/>
          <w:i/>
          <w:sz w:val="24"/>
          <w:szCs w:val="24"/>
          <w:u w:val="single"/>
        </w:rPr>
        <w:lastRenderedPageBreak/>
        <w:t xml:space="preserve">SECONDMENT OF FACULTY MEMBERS OF UMaT TO INDUSTRY FORM </w:t>
      </w:r>
    </w:p>
    <w:p w14:paraId="1F39CE7B" w14:textId="46F72348" w:rsidR="0033702C" w:rsidRPr="00F67BD8" w:rsidRDefault="00B13DDF" w:rsidP="00F67BD8">
      <w:pPr>
        <w:spacing w:before="30"/>
        <w:rPr>
          <w:rFonts w:ascii="Arial Narrow" w:eastAsia="Arial Narrow" w:hAnsi="Arial Narrow" w:cs="Arial Narrow"/>
          <w:b/>
          <w:sz w:val="24"/>
          <w:szCs w:val="24"/>
          <w:u w:val="single"/>
        </w:rPr>
      </w:pPr>
      <w:r>
        <w:rPr>
          <w:rFonts w:ascii="Arial Narrow" w:eastAsia="Arial Narrow" w:hAnsi="Arial Narrow" w:cs="Arial Narrow"/>
          <w:i/>
          <w:sz w:val="24"/>
          <w:szCs w:val="24"/>
          <w:u w:val="single"/>
        </w:rPr>
        <w:t>Complete all the required sections in the form.</w:t>
      </w:r>
      <w:r>
        <w:rPr>
          <w:rFonts w:ascii="Arial Narrow" w:eastAsia="Arial Narrow" w:hAnsi="Arial Narrow" w:cs="Arial Narrow"/>
          <w:i/>
          <w:sz w:val="24"/>
          <w:szCs w:val="24"/>
        </w:rPr>
        <w:t xml:space="preserve"> </w:t>
      </w:r>
      <w:r>
        <w:rPr>
          <w:rFonts w:ascii="Arial Narrow" w:eastAsia="Arial Narrow" w:hAnsi="Arial Narrow" w:cs="Arial Narrow"/>
          <w:i/>
          <w:sz w:val="24"/>
          <w:szCs w:val="24"/>
          <w:highlight w:val="white"/>
        </w:rPr>
        <w:t>Use “N/A” for fields that do not apply to you. Note that incomplete applications will not be processed</w:t>
      </w:r>
    </w:p>
    <w:p w14:paraId="07B30D5F" w14:textId="77777777" w:rsidR="0033702C" w:rsidRDefault="0033702C">
      <w:pPr>
        <w:spacing w:before="30"/>
        <w:rPr>
          <w:rFonts w:ascii="Arial Narrow" w:eastAsia="Arial Narrow" w:hAnsi="Arial Narrow" w:cs="Arial Narrow"/>
          <w:b/>
          <w:sz w:val="24"/>
          <w:szCs w:val="24"/>
          <w:u w:val="single"/>
        </w:rPr>
      </w:pPr>
    </w:p>
    <w:p w14:paraId="7B14A0F8" w14:textId="77777777" w:rsidR="0033702C" w:rsidRDefault="00B13DDF">
      <w:pPr>
        <w:spacing w:before="30"/>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SECTION A – APPLICANT’S BACKGROUND INFORMATION</w:t>
      </w:r>
    </w:p>
    <w:p w14:paraId="6170316B" w14:textId="77777777" w:rsidR="0033702C" w:rsidRDefault="0033702C">
      <w:pPr>
        <w:spacing w:before="30"/>
        <w:jc w:val="both"/>
        <w:rPr>
          <w:rFonts w:ascii="Arial Narrow" w:eastAsia="Arial Narrow" w:hAnsi="Arial Narrow" w:cs="Arial Narrow"/>
          <w:b/>
          <w:sz w:val="24"/>
          <w:szCs w:val="24"/>
          <w:u w:val="single"/>
        </w:rPr>
      </w:pPr>
    </w:p>
    <w:p w14:paraId="2824C24B" w14:textId="77777777" w:rsidR="0033702C" w:rsidRDefault="0033702C">
      <w:pPr>
        <w:spacing w:before="30"/>
        <w:jc w:val="both"/>
        <w:rPr>
          <w:rFonts w:ascii="Arial Narrow" w:eastAsia="Arial Narrow" w:hAnsi="Arial Narrow" w:cs="Arial Narrow"/>
          <w:b/>
          <w:sz w:val="24"/>
          <w:szCs w:val="24"/>
          <w:u w:val="single"/>
        </w:rPr>
      </w:pPr>
    </w:p>
    <w:tbl>
      <w:tblPr>
        <w:tblStyle w:val="a"/>
        <w:tblW w:w="9990" w:type="dxa"/>
        <w:tblInd w:w="174" w:type="dxa"/>
        <w:tblLayout w:type="fixed"/>
        <w:tblLook w:val="0000" w:firstRow="0" w:lastRow="0" w:firstColumn="0" w:lastColumn="0" w:noHBand="0" w:noVBand="0"/>
      </w:tblPr>
      <w:tblGrid>
        <w:gridCol w:w="4950"/>
        <w:gridCol w:w="5040"/>
      </w:tblGrid>
      <w:tr w:rsidR="0033702C" w14:paraId="551A8C71" w14:textId="77777777">
        <w:trPr>
          <w:trHeight w:val="903"/>
        </w:trPr>
        <w:tc>
          <w:tcPr>
            <w:tcW w:w="9990" w:type="dxa"/>
            <w:gridSpan w:val="2"/>
            <w:tcBorders>
              <w:top w:val="single" w:sz="5" w:space="0" w:color="000000"/>
              <w:left w:val="single" w:sz="5" w:space="0" w:color="000000"/>
              <w:bottom w:val="nil"/>
              <w:right w:val="single" w:sz="5" w:space="0" w:color="000000"/>
            </w:tcBorders>
          </w:tcPr>
          <w:p w14:paraId="253E8AB8" w14:textId="77777777" w:rsidR="0033702C" w:rsidRDefault="00B13DDF">
            <w:pPr>
              <w:spacing w:before="20" w:line="360" w:lineRule="auto"/>
              <w:rPr>
                <w:rFonts w:ascii="Arial Narrow" w:eastAsia="Arial Narrow" w:hAnsi="Arial Narrow" w:cs="Arial Narrow"/>
                <w:sz w:val="22"/>
                <w:szCs w:val="22"/>
              </w:rPr>
            </w:pPr>
            <w:r>
              <w:rPr>
                <w:rFonts w:ascii="Arial Narrow" w:eastAsia="Arial Narrow" w:hAnsi="Arial Narrow" w:cs="Arial Narrow"/>
                <w:sz w:val="22"/>
                <w:szCs w:val="22"/>
              </w:rPr>
              <w:t xml:space="preserve"> 1. Full name, as is registered in this University.</w:t>
            </w:r>
          </w:p>
          <w:p w14:paraId="6B5C75A8" w14:textId="296AC49B" w:rsidR="0033702C" w:rsidRDefault="00B13DDF">
            <w:pPr>
              <w:spacing w:before="60" w:line="360" w:lineRule="auto"/>
              <w:rPr>
                <w:rFonts w:ascii="Arial Narrow" w:eastAsia="Arial Narrow" w:hAnsi="Arial Narrow" w:cs="Arial Narrow"/>
                <w:sz w:val="22"/>
                <w:szCs w:val="22"/>
              </w:rPr>
            </w:pPr>
            <w:r>
              <w:rPr>
                <w:rFonts w:ascii="Arial Narrow" w:eastAsia="Arial Narrow" w:hAnsi="Arial Narrow" w:cs="Arial Narrow"/>
                <w:sz w:val="22"/>
                <w:szCs w:val="22"/>
              </w:rPr>
              <w:t xml:space="preserve"> Surname:                                  Other Name(s): </w:t>
            </w:r>
          </w:p>
        </w:tc>
      </w:tr>
      <w:tr w:rsidR="0033702C" w14:paraId="73D43779" w14:textId="77777777">
        <w:trPr>
          <w:trHeight w:val="480"/>
        </w:trPr>
        <w:tc>
          <w:tcPr>
            <w:tcW w:w="4950" w:type="dxa"/>
            <w:tcBorders>
              <w:top w:val="single" w:sz="5" w:space="0" w:color="000000"/>
              <w:left w:val="single" w:sz="5" w:space="0" w:color="000000"/>
              <w:bottom w:val="single" w:sz="5" w:space="0" w:color="000000"/>
              <w:right w:val="single" w:sz="5" w:space="0" w:color="000000"/>
            </w:tcBorders>
            <w:vAlign w:val="center"/>
          </w:tcPr>
          <w:p w14:paraId="768A9FCB" w14:textId="21CEA048" w:rsidR="0033702C" w:rsidRDefault="00B13DDF">
            <w:pPr>
              <w:spacing w:before="20"/>
              <w:rPr>
                <w:rFonts w:ascii="Arial Narrow" w:eastAsia="Arial Narrow" w:hAnsi="Arial Narrow" w:cs="Arial Narrow"/>
                <w:color w:val="B7B7B7"/>
                <w:sz w:val="22"/>
                <w:szCs w:val="22"/>
              </w:rPr>
            </w:pPr>
            <w:r>
              <w:rPr>
                <w:rFonts w:ascii="Arial Narrow" w:eastAsia="Arial Narrow" w:hAnsi="Arial Narrow" w:cs="Arial Narrow"/>
                <w:sz w:val="22"/>
                <w:szCs w:val="22"/>
              </w:rPr>
              <w:t xml:space="preserve"> 2. Staff Number: </w:t>
            </w:r>
          </w:p>
        </w:tc>
        <w:tc>
          <w:tcPr>
            <w:tcW w:w="5040" w:type="dxa"/>
            <w:tcBorders>
              <w:top w:val="single" w:sz="5" w:space="0" w:color="000000"/>
              <w:left w:val="single" w:sz="5" w:space="0" w:color="000000"/>
              <w:bottom w:val="single" w:sz="5" w:space="0" w:color="000000"/>
              <w:right w:val="single" w:sz="5" w:space="0" w:color="000000"/>
            </w:tcBorders>
            <w:vAlign w:val="center"/>
          </w:tcPr>
          <w:p w14:paraId="3F21194B" w14:textId="3A3915B7" w:rsidR="0033702C" w:rsidRDefault="00B13DDF">
            <w:pPr>
              <w:spacing w:before="20"/>
              <w:rPr>
                <w:rFonts w:ascii="Arial Narrow" w:eastAsia="Arial Narrow" w:hAnsi="Arial Narrow" w:cs="Arial Narrow"/>
                <w:sz w:val="22"/>
                <w:szCs w:val="22"/>
              </w:rPr>
            </w:pPr>
            <w:r>
              <w:rPr>
                <w:rFonts w:ascii="Arial Narrow" w:eastAsia="Arial Narrow" w:hAnsi="Arial Narrow" w:cs="Arial Narrow"/>
                <w:sz w:val="22"/>
                <w:szCs w:val="22"/>
              </w:rPr>
              <w:t xml:space="preserve"> 3. Gender:    Male</w:t>
            </w:r>
            <w:r w:rsidR="009503AC">
              <w:rPr>
                <w:rFonts w:ascii="MS Gothic" w:eastAsia="MS Gothic" w:hAnsi="MS Gothic" w:cs="MS Gothic"/>
                <w:sz w:val="22"/>
                <w:szCs w:val="22"/>
              </w:rPr>
              <w:t>☐</w:t>
            </w:r>
            <w:r w:rsidRPr="008F1437">
              <w:rPr>
                <w:rFonts w:ascii="Arial Narrow" w:eastAsia="Arial Narrow" w:hAnsi="Arial Narrow" w:cs="Arial Narrow"/>
                <w:color w:val="7F7F7F" w:themeColor="text1" w:themeTint="80"/>
                <w:sz w:val="22"/>
                <w:szCs w:val="22"/>
              </w:rPr>
              <w:t xml:space="preserve">  </w:t>
            </w:r>
            <w:r>
              <w:rPr>
                <w:rFonts w:ascii="Arial Narrow" w:eastAsia="Arial Narrow" w:hAnsi="Arial Narrow" w:cs="Arial Narrow"/>
                <w:sz w:val="22"/>
                <w:szCs w:val="22"/>
              </w:rPr>
              <w:t xml:space="preserve">         Female</w:t>
            </w:r>
            <w:r>
              <w:rPr>
                <w:rFonts w:ascii="MS Gothic" w:eastAsia="MS Gothic" w:hAnsi="MS Gothic" w:cs="MS Gothic"/>
                <w:sz w:val="22"/>
                <w:szCs w:val="22"/>
              </w:rPr>
              <w:t>☐</w:t>
            </w:r>
          </w:p>
        </w:tc>
      </w:tr>
      <w:tr w:rsidR="0033702C" w14:paraId="796D478E" w14:textId="77777777">
        <w:trPr>
          <w:trHeight w:val="480"/>
        </w:trPr>
        <w:tc>
          <w:tcPr>
            <w:tcW w:w="4950" w:type="dxa"/>
            <w:tcBorders>
              <w:top w:val="single" w:sz="5" w:space="0" w:color="000000"/>
              <w:left w:val="single" w:sz="5" w:space="0" w:color="000000"/>
              <w:bottom w:val="single" w:sz="5" w:space="0" w:color="000000"/>
              <w:right w:val="single" w:sz="5" w:space="0" w:color="000000"/>
            </w:tcBorders>
            <w:vAlign w:val="center"/>
          </w:tcPr>
          <w:p w14:paraId="2F3AA698" w14:textId="3B02ED64" w:rsidR="0033702C" w:rsidRDefault="00B13DDF" w:rsidP="009503AC">
            <w:pPr>
              <w:spacing w:before="20"/>
              <w:rPr>
                <w:rFonts w:ascii="Arial Narrow" w:eastAsia="Arial Narrow" w:hAnsi="Arial Narrow" w:cs="Arial Narrow"/>
                <w:sz w:val="22"/>
                <w:szCs w:val="22"/>
              </w:rPr>
            </w:pPr>
            <w:r>
              <w:rPr>
                <w:rFonts w:ascii="Arial Narrow" w:eastAsia="Arial Narrow" w:hAnsi="Arial Narrow" w:cs="Arial Narrow"/>
                <w:sz w:val="22"/>
                <w:szCs w:val="22"/>
              </w:rPr>
              <w:t xml:space="preserve"> 4. Department and Faculty: </w:t>
            </w:r>
          </w:p>
        </w:tc>
        <w:tc>
          <w:tcPr>
            <w:tcW w:w="5040" w:type="dxa"/>
            <w:tcBorders>
              <w:top w:val="single" w:sz="5" w:space="0" w:color="000000"/>
              <w:left w:val="single" w:sz="5" w:space="0" w:color="000000"/>
              <w:bottom w:val="single" w:sz="5" w:space="0" w:color="000000"/>
              <w:right w:val="single" w:sz="5" w:space="0" w:color="000000"/>
            </w:tcBorders>
            <w:vAlign w:val="center"/>
          </w:tcPr>
          <w:p w14:paraId="7815DA86" w14:textId="7A59DBFB" w:rsidR="0033702C" w:rsidRDefault="00B13DDF">
            <w:pPr>
              <w:spacing w:before="20"/>
              <w:rPr>
                <w:rFonts w:ascii="Arial Narrow" w:eastAsia="Arial Narrow" w:hAnsi="Arial Narrow" w:cs="Arial Narrow"/>
                <w:color w:val="CCCCCC"/>
                <w:sz w:val="22"/>
                <w:szCs w:val="22"/>
              </w:rPr>
            </w:pPr>
            <w:r>
              <w:rPr>
                <w:rFonts w:ascii="Arial Narrow" w:eastAsia="Arial Narrow" w:hAnsi="Arial Narrow" w:cs="Arial Narrow"/>
                <w:sz w:val="22"/>
                <w:szCs w:val="22"/>
              </w:rPr>
              <w:t xml:space="preserve"> 5. Rank: </w:t>
            </w:r>
          </w:p>
        </w:tc>
      </w:tr>
      <w:tr w:rsidR="0033702C" w14:paraId="6140F749" w14:textId="77777777">
        <w:trPr>
          <w:trHeight w:val="480"/>
        </w:trPr>
        <w:tc>
          <w:tcPr>
            <w:tcW w:w="4950" w:type="dxa"/>
            <w:tcBorders>
              <w:top w:val="single" w:sz="5" w:space="0" w:color="000000"/>
              <w:left w:val="single" w:sz="5" w:space="0" w:color="000000"/>
              <w:bottom w:val="single" w:sz="5" w:space="0" w:color="000000"/>
              <w:right w:val="single" w:sz="5" w:space="0" w:color="000000"/>
            </w:tcBorders>
            <w:vAlign w:val="center"/>
          </w:tcPr>
          <w:p w14:paraId="705EFC9B" w14:textId="7190531E" w:rsidR="0033702C" w:rsidRDefault="00B13DDF">
            <w:pPr>
              <w:spacing w:before="20"/>
              <w:rPr>
                <w:rFonts w:ascii="Arial Narrow" w:eastAsia="Arial Narrow" w:hAnsi="Arial Narrow" w:cs="Arial Narrow"/>
                <w:color w:val="CCCCCC"/>
                <w:sz w:val="22"/>
                <w:szCs w:val="22"/>
              </w:rPr>
            </w:pPr>
            <w:r>
              <w:rPr>
                <w:rFonts w:ascii="Arial Narrow" w:eastAsia="Arial Narrow" w:hAnsi="Arial Narrow" w:cs="Arial Narrow"/>
                <w:sz w:val="22"/>
                <w:szCs w:val="22"/>
              </w:rPr>
              <w:t xml:space="preserve"> 6. Phone Number: </w:t>
            </w:r>
            <w:r w:rsidRPr="008F1437">
              <w:rPr>
                <w:rFonts w:ascii="Arial Narrow" w:eastAsia="Arial Narrow" w:hAnsi="Arial Narrow" w:cs="Arial Narrow"/>
                <w:color w:val="7F7F7F" w:themeColor="text1" w:themeTint="80"/>
                <w:sz w:val="22"/>
                <w:szCs w:val="22"/>
              </w:rPr>
              <w:t xml:space="preserve"> </w:t>
            </w:r>
          </w:p>
        </w:tc>
        <w:tc>
          <w:tcPr>
            <w:tcW w:w="5040" w:type="dxa"/>
            <w:tcBorders>
              <w:top w:val="single" w:sz="5" w:space="0" w:color="000000"/>
              <w:left w:val="single" w:sz="5" w:space="0" w:color="000000"/>
              <w:bottom w:val="single" w:sz="5" w:space="0" w:color="000000"/>
              <w:right w:val="single" w:sz="5" w:space="0" w:color="000000"/>
            </w:tcBorders>
            <w:vAlign w:val="center"/>
          </w:tcPr>
          <w:p w14:paraId="070DC76A" w14:textId="54EF0B46" w:rsidR="009503AC" w:rsidRDefault="00B13DDF" w:rsidP="009503AC">
            <w:pPr>
              <w:spacing w:before="20"/>
              <w:rPr>
                <w:rFonts w:ascii="Arial Narrow" w:eastAsia="Arial Narrow" w:hAnsi="Arial Narrow" w:cs="Arial Narrow"/>
                <w:color w:val="B7B7B7"/>
                <w:sz w:val="22"/>
                <w:szCs w:val="22"/>
              </w:rPr>
            </w:pPr>
            <w:r>
              <w:rPr>
                <w:rFonts w:ascii="Arial Narrow" w:eastAsia="Arial Narrow" w:hAnsi="Arial Narrow" w:cs="Arial Narrow"/>
                <w:sz w:val="22"/>
                <w:szCs w:val="22"/>
              </w:rPr>
              <w:t xml:space="preserve"> 7. E-mail Address:</w:t>
            </w:r>
            <w:r>
              <w:rPr>
                <w:rFonts w:ascii="Arial Narrow" w:eastAsia="Arial Narrow" w:hAnsi="Arial Narrow" w:cs="Arial Narrow"/>
                <w:color w:val="B7B7B7"/>
                <w:sz w:val="22"/>
                <w:szCs w:val="22"/>
              </w:rPr>
              <w:t xml:space="preserve"> </w:t>
            </w:r>
          </w:p>
          <w:p w14:paraId="36A7DFC9" w14:textId="64593766" w:rsidR="0033702C" w:rsidRDefault="0033702C">
            <w:pPr>
              <w:spacing w:before="20"/>
              <w:rPr>
                <w:rFonts w:ascii="Arial Narrow" w:eastAsia="Arial Narrow" w:hAnsi="Arial Narrow" w:cs="Arial Narrow"/>
                <w:color w:val="B7B7B7"/>
                <w:sz w:val="22"/>
                <w:szCs w:val="22"/>
              </w:rPr>
            </w:pPr>
          </w:p>
        </w:tc>
      </w:tr>
      <w:tr w:rsidR="0033702C" w14:paraId="1E5AEA88" w14:textId="77777777">
        <w:trPr>
          <w:trHeight w:val="1992"/>
        </w:trPr>
        <w:tc>
          <w:tcPr>
            <w:tcW w:w="9990" w:type="dxa"/>
            <w:gridSpan w:val="2"/>
            <w:tcBorders>
              <w:top w:val="single" w:sz="5" w:space="0" w:color="000000"/>
              <w:left w:val="single" w:sz="5" w:space="0" w:color="000000"/>
              <w:bottom w:val="single" w:sz="5" w:space="0" w:color="000000"/>
              <w:right w:val="single" w:sz="5" w:space="0" w:color="000000"/>
            </w:tcBorders>
          </w:tcPr>
          <w:p w14:paraId="145BA07C" w14:textId="77777777" w:rsidR="0033702C" w:rsidRDefault="00B13DDF">
            <w:pPr>
              <w:rPr>
                <w:rFonts w:ascii="Arial Narrow" w:eastAsia="Arial Narrow" w:hAnsi="Arial Narrow" w:cs="Arial Narrow"/>
                <w:sz w:val="22"/>
                <w:szCs w:val="22"/>
              </w:rPr>
            </w:pPr>
            <w:r>
              <w:rPr>
                <w:rFonts w:ascii="Arial Narrow" w:eastAsia="Arial Narrow" w:hAnsi="Arial Narrow" w:cs="Arial Narrow"/>
                <w:sz w:val="22"/>
                <w:szCs w:val="22"/>
              </w:rPr>
              <w:t xml:space="preserve"> 8. Area(s) of Specialisation:</w:t>
            </w:r>
          </w:p>
          <w:p w14:paraId="1A287D48" w14:textId="48D1AC2B" w:rsidR="0033702C" w:rsidRDefault="00B13DDF">
            <w:pPr>
              <w:rPr>
                <w:rFonts w:ascii="Arial Narrow" w:eastAsia="Arial Narrow" w:hAnsi="Arial Narrow" w:cs="Arial Narrow"/>
                <w:color w:val="CCCCCC"/>
                <w:sz w:val="22"/>
                <w:szCs w:val="22"/>
              </w:rPr>
            </w:pPr>
            <w:r w:rsidRPr="008F1437">
              <w:rPr>
                <w:rFonts w:ascii="Arial Narrow" w:eastAsia="Arial Narrow" w:hAnsi="Arial Narrow" w:cs="Arial Narrow"/>
                <w:color w:val="7F7F7F" w:themeColor="text1" w:themeTint="80"/>
                <w:sz w:val="22"/>
                <w:szCs w:val="22"/>
              </w:rPr>
              <w:t xml:space="preserve"> </w:t>
            </w:r>
          </w:p>
        </w:tc>
      </w:tr>
      <w:tr w:rsidR="0033702C" w14:paraId="51C4081E" w14:textId="77777777">
        <w:trPr>
          <w:trHeight w:val="1875"/>
        </w:trPr>
        <w:tc>
          <w:tcPr>
            <w:tcW w:w="9990" w:type="dxa"/>
            <w:gridSpan w:val="2"/>
            <w:tcBorders>
              <w:top w:val="single" w:sz="5" w:space="0" w:color="000000"/>
              <w:left w:val="single" w:sz="5" w:space="0" w:color="000000"/>
              <w:bottom w:val="single" w:sz="5" w:space="0" w:color="000000"/>
              <w:right w:val="single" w:sz="5" w:space="0" w:color="000000"/>
            </w:tcBorders>
            <w:vAlign w:val="center"/>
          </w:tcPr>
          <w:p w14:paraId="20E41FCD" w14:textId="77777777" w:rsidR="0033702C" w:rsidRDefault="00B13DDF">
            <w:pPr>
              <w:spacing w:line="360" w:lineRule="auto"/>
              <w:rPr>
                <w:rFonts w:ascii="Arial Narrow" w:eastAsia="Arial Narrow" w:hAnsi="Arial Narrow" w:cs="Arial Narrow"/>
                <w:sz w:val="22"/>
                <w:szCs w:val="22"/>
              </w:rPr>
            </w:pPr>
            <w:r>
              <w:rPr>
                <w:rFonts w:ascii="Arial Narrow" w:eastAsia="Arial Narrow" w:hAnsi="Arial Narrow" w:cs="Arial Narrow"/>
                <w:sz w:val="22"/>
                <w:szCs w:val="22"/>
              </w:rPr>
              <w:t xml:space="preserve"> 9. Preference of Mining Companies and Sections:</w:t>
            </w:r>
          </w:p>
          <w:p w14:paraId="6AA4BE62" w14:textId="369D2A88" w:rsidR="0033702C" w:rsidRDefault="00B13DDF">
            <w:pPr>
              <w:spacing w:line="360" w:lineRule="auto"/>
              <w:ind w:firstLine="285"/>
              <w:rPr>
                <w:rFonts w:ascii="Arial Narrow" w:eastAsia="Arial Narrow" w:hAnsi="Arial Narrow" w:cs="Arial Narrow"/>
                <w:sz w:val="22"/>
                <w:szCs w:val="22"/>
              </w:rPr>
            </w:pPr>
            <w:r>
              <w:rPr>
                <w:rFonts w:ascii="Arial Narrow" w:eastAsia="Arial Narrow" w:hAnsi="Arial Narrow" w:cs="Arial Narrow"/>
                <w:sz w:val="22"/>
                <w:szCs w:val="22"/>
              </w:rPr>
              <w:t xml:space="preserve">1st Choice </w:t>
            </w:r>
          </w:p>
          <w:p w14:paraId="4D28974F" w14:textId="1DBEAA6F" w:rsidR="0033702C" w:rsidRDefault="00B13DDF">
            <w:pPr>
              <w:spacing w:line="360" w:lineRule="auto"/>
              <w:ind w:firstLine="285"/>
              <w:rPr>
                <w:rFonts w:ascii="Arial Narrow" w:eastAsia="Arial Narrow" w:hAnsi="Arial Narrow" w:cs="Arial Narrow"/>
                <w:sz w:val="22"/>
                <w:szCs w:val="22"/>
              </w:rPr>
            </w:pPr>
            <w:r>
              <w:rPr>
                <w:rFonts w:ascii="Arial Narrow" w:eastAsia="Arial Narrow" w:hAnsi="Arial Narrow" w:cs="Arial Narrow"/>
                <w:sz w:val="22"/>
                <w:szCs w:val="22"/>
              </w:rPr>
              <w:t xml:space="preserve">2nd Choice </w:t>
            </w:r>
          </w:p>
          <w:p w14:paraId="29418625" w14:textId="2EC6DAA5" w:rsidR="0033702C" w:rsidRDefault="00B13DDF">
            <w:pPr>
              <w:spacing w:line="360" w:lineRule="auto"/>
              <w:ind w:firstLine="285"/>
              <w:rPr>
                <w:rFonts w:ascii="Arial Narrow" w:eastAsia="Arial Narrow" w:hAnsi="Arial Narrow" w:cs="Arial Narrow"/>
                <w:sz w:val="22"/>
                <w:szCs w:val="22"/>
              </w:rPr>
            </w:pPr>
            <w:r>
              <w:rPr>
                <w:rFonts w:ascii="Arial Narrow" w:eastAsia="Arial Narrow" w:hAnsi="Arial Narrow" w:cs="Arial Narrow"/>
                <w:sz w:val="22"/>
                <w:szCs w:val="22"/>
              </w:rPr>
              <w:t xml:space="preserve">3rd Choice </w:t>
            </w:r>
          </w:p>
        </w:tc>
      </w:tr>
      <w:tr w:rsidR="0033702C" w14:paraId="76FF2DCB" w14:textId="77777777">
        <w:trPr>
          <w:trHeight w:val="894"/>
        </w:trPr>
        <w:tc>
          <w:tcPr>
            <w:tcW w:w="9990" w:type="dxa"/>
            <w:gridSpan w:val="2"/>
            <w:tcBorders>
              <w:top w:val="single" w:sz="5" w:space="0" w:color="000000"/>
              <w:left w:val="single" w:sz="5" w:space="0" w:color="000000"/>
              <w:bottom w:val="single" w:sz="6" w:space="0" w:color="000000"/>
              <w:right w:val="single" w:sz="5" w:space="0" w:color="000000"/>
            </w:tcBorders>
            <w:vAlign w:val="center"/>
          </w:tcPr>
          <w:p w14:paraId="68783618" w14:textId="55869074" w:rsidR="0033702C" w:rsidRDefault="00B13DDF">
            <w:pPr>
              <w:rPr>
                <w:rFonts w:ascii="Arial Narrow" w:eastAsia="Arial Narrow" w:hAnsi="Arial Narrow" w:cs="Arial Narrow"/>
                <w:sz w:val="22"/>
                <w:szCs w:val="22"/>
              </w:rPr>
            </w:pPr>
            <w:r>
              <w:rPr>
                <w:rFonts w:ascii="Arial Narrow" w:eastAsia="Arial Narrow" w:hAnsi="Arial Narrow" w:cs="Arial Narrow"/>
                <w:sz w:val="22"/>
                <w:szCs w:val="22"/>
              </w:rPr>
              <w:t xml:space="preserve"> 10. Have you benefited from the secondment before?  </w:t>
            </w:r>
            <w:r>
              <w:rPr>
                <w:rFonts w:ascii="MS Gothic" w:eastAsia="MS Gothic" w:hAnsi="MS Gothic" w:cs="MS Gothic"/>
                <w:sz w:val="22"/>
                <w:szCs w:val="22"/>
              </w:rPr>
              <w:t>☐</w:t>
            </w:r>
            <w:r>
              <w:rPr>
                <w:rFonts w:ascii="Arial Narrow" w:eastAsia="Arial Narrow" w:hAnsi="Arial Narrow" w:cs="Arial Narrow"/>
                <w:sz w:val="22"/>
                <w:szCs w:val="22"/>
              </w:rPr>
              <w:t xml:space="preserve">             When:</w:t>
            </w:r>
            <w:r>
              <w:rPr>
                <w:color w:val="808080"/>
                <w:sz w:val="22"/>
                <w:szCs w:val="22"/>
              </w:rPr>
              <w:t xml:space="preserve"> N/A</w:t>
            </w:r>
            <w:r>
              <w:rPr>
                <w:rFonts w:ascii="Arial Narrow" w:eastAsia="Arial Narrow" w:hAnsi="Arial Narrow" w:cs="Arial Narrow"/>
                <w:sz w:val="22"/>
                <w:szCs w:val="22"/>
              </w:rPr>
              <w:t xml:space="preserve">   </w:t>
            </w:r>
          </w:p>
          <w:p w14:paraId="66C036B2" w14:textId="4E1D67AE" w:rsidR="0033702C" w:rsidRDefault="00B13DDF">
            <w:pPr>
              <w:rPr>
                <w:rFonts w:ascii="Arial Narrow" w:eastAsia="Arial Narrow" w:hAnsi="Arial Narrow" w:cs="Arial Narrow"/>
                <w:color w:val="CCCCCC"/>
                <w:sz w:val="22"/>
                <w:szCs w:val="22"/>
              </w:rPr>
            </w:pPr>
            <w:r>
              <w:rPr>
                <w:rFonts w:ascii="Arial Narrow" w:eastAsia="Arial Narrow" w:hAnsi="Arial Narrow" w:cs="Arial Narrow"/>
                <w:sz w:val="22"/>
                <w:szCs w:val="22"/>
              </w:rPr>
              <w:t xml:space="preserve">Period </w:t>
            </w:r>
            <w:r w:rsidRPr="002A41D8">
              <w:rPr>
                <w:rFonts w:ascii="Arial Narrow" w:eastAsia="Arial Narrow" w:hAnsi="Arial Narrow" w:cs="Arial Narrow"/>
                <w:color w:val="7F7F7F" w:themeColor="text1" w:themeTint="80"/>
                <w:sz w:val="22"/>
                <w:szCs w:val="22"/>
              </w:rPr>
              <w:t>N/A</w:t>
            </w:r>
            <w:r>
              <w:rPr>
                <w:rFonts w:ascii="Arial Narrow" w:eastAsia="Arial Narrow" w:hAnsi="Arial Narrow" w:cs="Arial Narrow"/>
                <w:sz w:val="22"/>
                <w:szCs w:val="22"/>
              </w:rPr>
              <w:t xml:space="preserve">  and Mine </w:t>
            </w:r>
            <w:r w:rsidRPr="002A41D8">
              <w:rPr>
                <w:rFonts w:ascii="Arial Narrow" w:eastAsia="Arial Narrow" w:hAnsi="Arial Narrow" w:cs="Arial Narrow"/>
                <w:color w:val="7F7F7F" w:themeColor="text1" w:themeTint="80"/>
                <w:sz w:val="22"/>
                <w:szCs w:val="22"/>
              </w:rPr>
              <w:t>N/A</w:t>
            </w:r>
          </w:p>
        </w:tc>
      </w:tr>
      <w:tr w:rsidR="0033702C" w14:paraId="4D75BDC0" w14:textId="77777777">
        <w:trPr>
          <w:trHeight w:val="915"/>
        </w:trPr>
        <w:tc>
          <w:tcPr>
            <w:tcW w:w="9990" w:type="dxa"/>
            <w:gridSpan w:val="2"/>
            <w:tcBorders>
              <w:top w:val="single" w:sz="5" w:space="0" w:color="000000"/>
              <w:left w:val="single" w:sz="5" w:space="0" w:color="000000"/>
              <w:bottom w:val="single" w:sz="6" w:space="0" w:color="000000"/>
              <w:right w:val="single" w:sz="5" w:space="0" w:color="000000"/>
            </w:tcBorders>
          </w:tcPr>
          <w:p w14:paraId="368CAA80" w14:textId="36ADF75C" w:rsidR="0033702C" w:rsidRDefault="00B13DDF">
            <w:pPr>
              <w:tabs>
                <w:tab w:val="left" w:pos="9639"/>
              </w:tabs>
              <w:rPr>
                <w:rFonts w:ascii="Arial Narrow" w:eastAsia="Arial Narrow" w:hAnsi="Arial Narrow" w:cs="Arial Narrow"/>
                <w:sz w:val="22"/>
                <w:szCs w:val="22"/>
              </w:rPr>
            </w:pPr>
            <w:r>
              <w:rPr>
                <w:rFonts w:ascii="Arial Narrow" w:eastAsia="Arial Narrow" w:hAnsi="Arial Narrow" w:cs="Arial Narrow"/>
                <w:sz w:val="22"/>
                <w:szCs w:val="22"/>
              </w:rPr>
              <w:t xml:space="preserve"> Signature of Applicant:                                                                                Date:</w:t>
            </w:r>
            <w:r>
              <w:rPr>
                <w:sz w:val="24"/>
                <w:szCs w:val="24"/>
              </w:rPr>
              <w:t xml:space="preserve"> </w:t>
            </w:r>
          </w:p>
        </w:tc>
      </w:tr>
      <w:tr w:rsidR="0033702C" w14:paraId="6C209F1A" w14:textId="77777777">
        <w:trPr>
          <w:trHeight w:val="2229"/>
        </w:trPr>
        <w:tc>
          <w:tcPr>
            <w:tcW w:w="9990" w:type="dxa"/>
            <w:gridSpan w:val="2"/>
            <w:tcBorders>
              <w:top w:val="single" w:sz="5" w:space="0" w:color="000000"/>
              <w:left w:val="single" w:sz="5" w:space="0" w:color="000000"/>
              <w:bottom w:val="single" w:sz="6" w:space="0" w:color="000000"/>
              <w:right w:val="single" w:sz="5" w:space="0" w:color="000000"/>
            </w:tcBorders>
            <w:vAlign w:val="center"/>
          </w:tcPr>
          <w:p w14:paraId="38FD5301" w14:textId="77777777" w:rsidR="0033702C" w:rsidRDefault="00B13DDF">
            <w:p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 xml:space="preserve">Head of Department’s Comment:                                                                                                     </w:t>
            </w:r>
          </w:p>
          <w:p w14:paraId="6966288C" w14:textId="7FC9E730" w:rsidR="0033702C" w:rsidRDefault="00F67BD8">
            <w:pPr>
              <w:spacing w:line="276" w:lineRule="auto"/>
              <w:rPr>
                <w:rFonts w:ascii="Arial Narrow" w:eastAsia="Arial Narrow" w:hAnsi="Arial Narrow" w:cs="Arial Narrow"/>
                <w:sz w:val="22"/>
                <w:szCs w:val="22"/>
              </w:rPr>
            </w:pPr>
            <w:r>
              <w:rPr>
                <w:color w:val="808080"/>
                <w:sz w:val="22"/>
                <w:szCs w:val="22"/>
              </w:rPr>
              <w:t>The applicant is an assistant lecturer at the Mechanical Engineering Department. The secondment programme will help him to upgrade his knowledge in the practice. Therefore, this application is recommended for your approval and award.</w:t>
            </w:r>
          </w:p>
          <w:p w14:paraId="2F064344" w14:textId="77777777" w:rsidR="0033702C" w:rsidRDefault="0033702C">
            <w:pPr>
              <w:spacing w:line="276" w:lineRule="auto"/>
              <w:rPr>
                <w:rFonts w:ascii="Arial Narrow" w:eastAsia="Arial Narrow" w:hAnsi="Arial Narrow" w:cs="Arial Narrow"/>
                <w:sz w:val="22"/>
                <w:szCs w:val="22"/>
              </w:rPr>
            </w:pPr>
          </w:p>
          <w:p w14:paraId="1E4F60CC" w14:textId="77777777" w:rsidR="0033702C" w:rsidRDefault="0033702C">
            <w:pPr>
              <w:spacing w:line="276" w:lineRule="auto"/>
              <w:rPr>
                <w:rFonts w:ascii="Arial Narrow" w:eastAsia="Arial Narrow" w:hAnsi="Arial Narrow" w:cs="Arial Narrow"/>
                <w:sz w:val="22"/>
                <w:szCs w:val="22"/>
              </w:rPr>
            </w:pPr>
          </w:p>
          <w:p w14:paraId="66412476" w14:textId="4AF7520C" w:rsidR="0033702C" w:rsidRDefault="00B13DDF">
            <w:p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 xml:space="preserve"> Signature and Date:</w:t>
            </w:r>
            <w:r w:rsidR="002A41D8">
              <w:t xml:space="preserve"> </w:t>
            </w:r>
          </w:p>
        </w:tc>
      </w:tr>
    </w:tbl>
    <w:p w14:paraId="3A84994A" w14:textId="77777777" w:rsidR="0033702C" w:rsidRDefault="0033702C">
      <w:pPr>
        <w:rPr>
          <w:rFonts w:ascii="Arial Narrow" w:eastAsia="Arial Narrow" w:hAnsi="Arial Narrow" w:cs="Arial Narrow"/>
          <w:sz w:val="22"/>
          <w:szCs w:val="22"/>
        </w:rPr>
      </w:pPr>
    </w:p>
    <w:p w14:paraId="1FC8D10F" w14:textId="577EBFE0" w:rsidR="0033702C" w:rsidRPr="008F1437" w:rsidRDefault="00B13DDF">
      <w:pPr>
        <w:rPr>
          <w:b/>
          <w:i/>
          <w:sz w:val="32"/>
          <w:szCs w:val="32"/>
        </w:rPr>
      </w:pPr>
      <w:r>
        <w:rPr>
          <w:b/>
          <w:i/>
          <w:sz w:val="32"/>
          <w:szCs w:val="32"/>
        </w:rPr>
        <w:t>Note: All Completed Forms should be sent to: gcmtef-sfm@umat.edu.gh</w:t>
      </w:r>
    </w:p>
    <w:sectPr w:rsidR="0033702C" w:rsidRPr="008F1437">
      <w:footerReference w:type="default" r:id="rId8"/>
      <w:pgSz w:w="12240" w:h="15840"/>
      <w:pgMar w:top="720" w:right="720" w:bottom="720" w:left="720" w:header="0" w:footer="7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1BCF" w14:textId="77777777" w:rsidR="00BB7578" w:rsidRDefault="00BB7578">
      <w:r>
        <w:separator/>
      </w:r>
    </w:p>
  </w:endnote>
  <w:endnote w:type="continuationSeparator" w:id="0">
    <w:p w14:paraId="795BA99D" w14:textId="77777777" w:rsidR="00BB7578" w:rsidRDefault="00BB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tardos Stencil">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Libre Baskerville">
    <w:charset w:val="00"/>
    <w:family w:val="auto"/>
    <w:pitch w:val="variable"/>
    <w:sig w:usb0="A00000BF" w:usb1="50000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CBAD" w14:textId="77777777" w:rsidR="0033702C" w:rsidRDefault="0033702C">
    <w:pPr>
      <w:spacing w:line="20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4773" w14:textId="77777777" w:rsidR="00BB7578" w:rsidRDefault="00BB7578">
      <w:r>
        <w:separator/>
      </w:r>
    </w:p>
  </w:footnote>
  <w:footnote w:type="continuationSeparator" w:id="0">
    <w:p w14:paraId="72E02DEC" w14:textId="77777777" w:rsidR="00BB7578" w:rsidRDefault="00BB7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F03AB"/>
    <w:multiLevelType w:val="multilevel"/>
    <w:tmpl w:val="D88287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A46CF9"/>
    <w:multiLevelType w:val="multilevel"/>
    <w:tmpl w:val="B85E63E8"/>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29637722">
    <w:abstractNumId w:val="0"/>
  </w:num>
  <w:num w:numId="2" w16cid:durableId="920675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2C"/>
    <w:rsid w:val="002A41D8"/>
    <w:rsid w:val="0033702C"/>
    <w:rsid w:val="003819DD"/>
    <w:rsid w:val="003923E5"/>
    <w:rsid w:val="00502388"/>
    <w:rsid w:val="00607AA3"/>
    <w:rsid w:val="00615AB1"/>
    <w:rsid w:val="00645D84"/>
    <w:rsid w:val="008F1437"/>
    <w:rsid w:val="009503AC"/>
    <w:rsid w:val="00AD5B82"/>
    <w:rsid w:val="00B13DDF"/>
    <w:rsid w:val="00BB7578"/>
    <w:rsid w:val="00E571D5"/>
    <w:rsid w:val="00F67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DACE"/>
  <w15:docId w15:val="{9AAB9097-4BC6-4872-B4D0-2EFDA525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 Dzobo</dc:creator>
  <cp:lastModifiedBy>Yao Yevenyo Ziggah</cp:lastModifiedBy>
  <cp:revision>6</cp:revision>
  <dcterms:created xsi:type="dcterms:W3CDTF">2023-07-04T12:30:00Z</dcterms:created>
  <dcterms:modified xsi:type="dcterms:W3CDTF">2023-07-28T16:48:00Z</dcterms:modified>
</cp:coreProperties>
</file>